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2BB63" w14:textId="77777777" w:rsidR="00456115" w:rsidRDefault="00456115">
      <w:r>
        <w:t>Patrick Ranheim</w:t>
      </w:r>
      <w:r>
        <w:tab/>
      </w:r>
      <w:r>
        <w:tab/>
      </w:r>
      <w:r>
        <w:tab/>
      </w:r>
      <w:r>
        <w:tab/>
      </w:r>
      <w:r>
        <w:tab/>
      </w:r>
      <w:r>
        <w:tab/>
      </w:r>
      <w:r>
        <w:tab/>
      </w:r>
      <w:r>
        <w:tab/>
      </w:r>
      <w:r>
        <w:tab/>
        <w:t>3/5-2013</w:t>
      </w:r>
    </w:p>
    <w:p w14:paraId="60ABB0C9" w14:textId="77777777" w:rsidR="00456115" w:rsidRDefault="00456115" w:rsidP="00456115">
      <w:pPr>
        <w:pStyle w:val="Tittel"/>
      </w:pPr>
      <w:r>
        <w:t>Hvordan lage takstmatriser?</w:t>
      </w:r>
    </w:p>
    <w:p w14:paraId="35A9F778" w14:textId="77777777" w:rsidR="00456115" w:rsidRDefault="00456115">
      <w:r>
        <w:t>I nye versjoner av RTM vil det være mulig å kode sonetakst for modellområdet sitt, slik at takstene passer best mulig overens med virkeligheten. Man kan kode sonetakst for de områdene som har sonetakst og benytte avstands-takst for andre områder, sone- og avstandstakst kan altså k</w:t>
      </w:r>
      <w:r w:rsidR="00361072">
        <w:t xml:space="preserve">ombineres. Og, man kan ha </w:t>
      </w:r>
      <w:r>
        <w:t>ulike avstandstakster for ulike områder. Det nye opplegget er altså mer fleksibelt når det kommer til beskrivelse av takster enn før. Man kan fremdeles benytte avstandstakst for hele modellområdet, men i nye modellversjoner må denn</w:t>
      </w:r>
      <w:r w:rsidR="00361072">
        <w:t>e kodes på måten som beskrives her.</w:t>
      </w:r>
    </w:p>
    <w:p w14:paraId="54879860" w14:textId="77777777" w:rsidR="00361072" w:rsidRDefault="00361072" w:rsidP="00361072">
      <w:pPr>
        <w:pStyle w:val="Overskrift1"/>
      </w:pPr>
      <w:r>
        <w:t>Første trinn: Identifiserer de ulike takstsystemene i modellområdet</w:t>
      </w:r>
    </w:p>
    <w:p w14:paraId="70ED7649" w14:textId="77777777" w:rsidR="00361072" w:rsidRDefault="00361072" w:rsidP="00361072"/>
    <w:p w14:paraId="60DFBF6F" w14:textId="77777777" w:rsidR="008D028E" w:rsidRDefault="00361072" w:rsidP="00361072">
      <w:r>
        <w:t xml:space="preserve">Her benytter jeg modellområdet DOM_IC som eksempel. I dette området har vi </w:t>
      </w:r>
      <w:r w:rsidR="008D028E">
        <w:t xml:space="preserve">blant annet </w:t>
      </w:r>
      <w:r>
        <w:t>Ruters takstsamarbeid for Oslo, Akershus og noen omkringliggend</w:t>
      </w:r>
      <w:r w:rsidR="008D028E">
        <w:t xml:space="preserve">e kommuner. I tillegg har </w:t>
      </w:r>
      <w:r>
        <w:t xml:space="preserve">fylkeskommunene egne sonesystemer. </w:t>
      </w:r>
    </w:p>
    <w:p w14:paraId="02BFFB57" w14:textId="77777777" w:rsidR="00361072" w:rsidRDefault="00361072" w:rsidP="00361072">
      <w:r>
        <w:t>Sonesystemer kan også finnes i mer lokale varianter.</w:t>
      </w:r>
    </w:p>
    <w:p w14:paraId="1A19EF4E" w14:textId="77777777" w:rsidR="00361072" w:rsidRDefault="00361072" w:rsidP="00361072">
      <w:pPr>
        <w:pStyle w:val="Overskrift1"/>
      </w:pPr>
      <w:r>
        <w:t xml:space="preserve">Andre Trinn: Vurder hvilke av </w:t>
      </w:r>
      <w:r w:rsidR="007803C8">
        <w:t>takst</w:t>
      </w:r>
      <w:r>
        <w:t xml:space="preserve">systemene som skal kodes som sonetakst </w:t>
      </w:r>
    </w:p>
    <w:p w14:paraId="6FFE4DBD" w14:textId="77777777" w:rsidR="00361072" w:rsidRDefault="00361072" w:rsidP="00361072"/>
    <w:p w14:paraId="09F94AAB" w14:textId="77777777" w:rsidR="00361072" w:rsidRDefault="00361072" w:rsidP="00361072">
      <w:r>
        <w:t>Noen sone</w:t>
      </w:r>
      <w:r w:rsidR="008D028E">
        <w:t>takst</w:t>
      </w:r>
      <w:r>
        <w:t>systemer har fryktelig mange soner, jo flere soner jo..</w:t>
      </w:r>
    </w:p>
    <w:p w14:paraId="3BB2311A" w14:textId="77777777" w:rsidR="00361072" w:rsidRDefault="00361072" w:rsidP="00361072">
      <w:pPr>
        <w:pStyle w:val="Listeavsnitt"/>
        <w:numPr>
          <w:ilvl w:val="0"/>
          <w:numId w:val="1"/>
        </w:numPr>
      </w:pPr>
      <w:r>
        <w:t>Mer jobb å kode sonetakst</w:t>
      </w:r>
    </w:p>
    <w:p w14:paraId="3E128804" w14:textId="77777777" w:rsidR="00361072" w:rsidRDefault="007803C8" w:rsidP="00361072">
      <w:pPr>
        <w:pStyle w:val="Listeavsnitt"/>
        <w:numPr>
          <w:ilvl w:val="0"/>
          <w:numId w:val="1"/>
        </w:numPr>
      </w:pPr>
      <w:r>
        <w:t>Mindre reell forskjell fra avstandstakst</w:t>
      </w:r>
    </w:p>
    <w:p w14:paraId="67F8C590" w14:textId="77777777" w:rsidR="007803C8" w:rsidRDefault="007803C8" w:rsidP="007803C8">
      <w:r>
        <w:t>For noen sonetakstsystemer kan altså en egen avstandstakst være et greit alternativ, se appendikset for forslag til metodikk. For turer mellom ulike takstsystemer er avstandstakst et greit alternativ.</w:t>
      </w:r>
    </w:p>
    <w:p w14:paraId="4DC0036C" w14:textId="77777777" w:rsidR="00131403" w:rsidRDefault="00131403" w:rsidP="007803C8">
      <w:r>
        <w:t>Merk at man helt fint kan ha overlappende takstsystemer</w:t>
      </w:r>
      <w:r w:rsidR="003C3B0E">
        <w:t xml:space="preserve"> så lenge takstsonene er de samme (for eksempel kan Hurum kommune som er en egen takstsone i både Ruter sitt system og i Østfold sitt system inngå i begge systemer også i modellen)</w:t>
      </w:r>
      <w:r w:rsidR="00A0222C">
        <w:t>. Det vil også være mulig med overlapp når takstsonene ikke er like, hvis man koder det riktig.</w:t>
      </w:r>
    </w:p>
    <w:p w14:paraId="5A502578" w14:textId="77777777" w:rsidR="007803C8" w:rsidRDefault="007803C8" w:rsidP="007803C8">
      <w:pPr>
        <w:pStyle w:val="Overskrift1"/>
      </w:pPr>
      <w:r>
        <w:t xml:space="preserve">Tredje Trinn: Tilordne alle grunnkretser </w:t>
      </w:r>
      <w:r w:rsidR="00131403">
        <w:t>som inngår i et takstsystem et takstsonenummer</w:t>
      </w:r>
    </w:p>
    <w:p w14:paraId="4FBA4143" w14:textId="77777777" w:rsidR="007803C8" w:rsidRDefault="007803C8" w:rsidP="007803C8"/>
    <w:p w14:paraId="37668AEC" w14:textId="77777777" w:rsidR="00131403" w:rsidRDefault="007803C8" w:rsidP="00131403">
      <w:r>
        <w:t xml:space="preserve">Alle grunnkretser </w:t>
      </w:r>
      <w:r w:rsidR="00131403">
        <w:t xml:space="preserve">som inngår i et takstsystem skal altså tilordnes et </w:t>
      </w:r>
      <w:r w:rsidR="00413DC1">
        <w:t>takst</w:t>
      </w:r>
      <w:r w:rsidR="00131403">
        <w:t>sonenummer uavhengig av om systemet skal kodes som avstandstakst eller sonetakst. Her er det</w:t>
      </w:r>
      <w:r w:rsidR="003C3B0E">
        <w:t xml:space="preserve"> da to alternativer,</w:t>
      </w:r>
      <w:r w:rsidR="00131403">
        <w:t xml:space="preserve"> hvis det skal kodes avstandstakst tilordnes alle grunnkretsene i systemet</w:t>
      </w:r>
      <w:r w:rsidR="003C3B0E">
        <w:t xml:space="preserve"> et og samme nummer, enkelt og greit. </w:t>
      </w:r>
      <w:r w:rsidR="003C3B0E">
        <w:lastRenderedPageBreak/>
        <w:t>Hvis systemet skal kodes som sonetakst må grunnkretsene fordeles til den takstsonen de hører inn under. For eksempel må alle grunnkretsene</w:t>
      </w:r>
      <w:r w:rsidR="009E022A">
        <w:t xml:space="preserve"> i Oslo kommune og mange av grunnkretsene i Bærum kommune tilordnes samme nummer, slik at de til sammen blir Ruters sone nummer 1. Alle grunnkretser i Hurum kommune må tilordnes et nummer slik at dette blir Ruters sone 4Ø og samtidig en av kommune-sonene i Østfold sitt system.</w:t>
      </w:r>
    </w:p>
    <w:p w14:paraId="73EC4291" w14:textId="77777777" w:rsidR="009E022A" w:rsidRDefault="009E022A" w:rsidP="00131403">
      <w:r>
        <w:t>Numrene som benyttes må naturligvis være unike</w:t>
      </w:r>
      <w:r w:rsidR="00CB7697">
        <w:t>.</w:t>
      </w:r>
    </w:p>
    <w:p w14:paraId="49C2B5C7" w14:textId="77777777" w:rsidR="00CB7697" w:rsidRPr="007803C8" w:rsidRDefault="00CB7697" w:rsidP="00131403">
      <w:r>
        <w:t>Dette må kodes som en DBF-fil med headingene HNR og Takstsone. Alle modellens grunnkretser må med, men alle må ikke nødvendigvis tilordnes et sonenummer (se nedenfor).</w:t>
      </w:r>
    </w:p>
    <w:p w14:paraId="4DC46BEF" w14:textId="77777777" w:rsidR="00361072" w:rsidRDefault="00CB7697" w:rsidP="00361072">
      <w:r w:rsidRPr="00CB7697">
        <w:rPr>
          <w:noProof/>
          <w:lang w:eastAsia="nb-NO"/>
        </w:rPr>
        <w:drawing>
          <wp:inline distT="0" distB="0" distL="0" distR="0" wp14:anchorId="6947E728" wp14:editId="067BCCE4">
            <wp:extent cx="2295525" cy="28670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867025"/>
                    </a:xfrm>
                    <a:prstGeom prst="rect">
                      <a:avLst/>
                    </a:prstGeom>
                    <a:noFill/>
                    <a:ln>
                      <a:noFill/>
                    </a:ln>
                  </pic:spPr>
                </pic:pic>
              </a:graphicData>
            </a:graphic>
          </wp:inline>
        </w:drawing>
      </w:r>
    </w:p>
    <w:p w14:paraId="036D8519" w14:textId="77777777" w:rsidR="00361072" w:rsidRDefault="00CB7697" w:rsidP="00361072">
      <w:r>
        <w:t xml:space="preserve">På e-rommet ligger i skrivende stund eksempelfiler for Dom-IC. Denne filen heter </w:t>
      </w:r>
      <w:r w:rsidR="00264966">
        <w:t>“</w:t>
      </w:r>
      <w:proofErr w:type="spellStart"/>
      <w:r>
        <w:t>dom_ic_soner</w:t>
      </w:r>
      <w:proofErr w:type="spellEnd"/>
      <w:r w:rsidR="00264966">
        <w:t>”</w:t>
      </w:r>
      <w:r>
        <w:t xml:space="preserve"> og er den f</w:t>
      </w:r>
      <w:r w:rsidR="00954BE7">
        <w:t>ørste av tre filer som må kodes i forbindelse med takstmatrise.</w:t>
      </w:r>
    </w:p>
    <w:p w14:paraId="1B97B852" w14:textId="77777777" w:rsidR="00954BE7" w:rsidRDefault="00954BE7" w:rsidP="00954BE7">
      <w:pPr>
        <w:pStyle w:val="Overskrift1"/>
      </w:pPr>
      <w:r>
        <w:t xml:space="preserve">Fjerde trinn: Tilordne </w:t>
      </w:r>
      <w:r w:rsidR="004B0F87">
        <w:t>alle</w:t>
      </w:r>
      <w:r>
        <w:t xml:space="preserve"> takstsonerelasjonene et takstnummer</w:t>
      </w:r>
    </w:p>
    <w:p w14:paraId="2686EA06" w14:textId="77777777" w:rsidR="00954BE7" w:rsidRDefault="00954BE7" w:rsidP="00954BE7"/>
    <w:p w14:paraId="20CC9F8E" w14:textId="77777777" w:rsidR="008E0DE3" w:rsidRDefault="00264966" w:rsidP="00954BE7">
      <w:r>
        <w:t xml:space="preserve">Med relasjon menes da </w:t>
      </w:r>
      <w:r w:rsidR="008E0DE3" w:rsidRPr="008E0DE3">
        <w:t>fra</w:t>
      </w:r>
      <w:r>
        <w:t xml:space="preserve"> en takstsone (som er kodet ovenfor) til en annen takstsone. Det </w:t>
      </w:r>
      <w:r w:rsidR="008D028E">
        <w:t xml:space="preserve">er </w:t>
      </w:r>
      <w:r>
        <w:t>naturligvis kun relasjoner mellom soner i sam</w:t>
      </w:r>
      <w:r w:rsidR="008E0DE3">
        <w:t>me takstsystem som skal kodes.</w:t>
      </w:r>
      <w:r w:rsidR="004B0F87">
        <w:t xml:space="preserve"> Merk at også der hvor det skal være avstan</w:t>
      </w:r>
      <w:r w:rsidR="008D028E">
        <w:t>dstak</w:t>
      </w:r>
      <w:r w:rsidR="004B0F87">
        <w:t>s</w:t>
      </w:r>
      <w:r w:rsidR="008D028E">
        <w:t>t</w:t>
      </w:r>
      <w:r w:rsidR="004B0F87">
        <w:t xml:space="preserve"> skal dette kodes, man gir da et takstnummer for den ene relasjonen som er fra og til samme takstsone (se nedenfor).</w:t>
      </w:r>
    </w:p>
    <w:p w14:paraId="6511C6FA" w14:textId="77777777" w:rsidR="004B0F87" w:rsidRDefault="008E0DE3" w:rsidP="00954BE7">
      <w:r>
        <w:t xml:space="preserve"> </w:t>
      </w:r>
      <w:r w:rsidR="00954BE7">
        <w:t xml:space="preserve">Det vanligste for sonetakstsystemer er at prisen på både månedskort og enkeltbillett avhenger av antall sonekryssinger. For Ruter har vi </w:t>
      </w:r>
      <w:r w:rsidR="00264966">
        <w:t xml:space="preserve">eksempelvis </w:t>
      </w:r>
      <w:r w:rsidR="00954BE7">
        <w:t>følgende:</w:t>
      </w:r>
    </w:p>
    <w:p w14:paraId="760B4E17" w14:textId="77777777" w:rsidR="00954BE7" w:rsidRDefault="004B0F87" w:rsidP="00954BE7">
      <w:r>
        <w:br w:type="page"/>
      </w:r>
    </w:p>
    <w:tbl>
      <w:tblPr>
        <w:tblW w:w="0" w:type="auto"/>
        <w:tblCellSpacing w:w="15" w:type="dxa"/>
        <w:shd w:val="clear" w:color="auto" w:fill="FFFFFF"/>
        <w:tblCellMar>
          <w:top w:w="90" w:type="dxa"/>
          <w:left w:w="90" w:type="dxa"/>
          <w:bottom w:w="90" w:type="dxa"/>
          <w:right w:w="90" w:type="dxa"/>
        </w:tblCellMar>
        <w:tblLook w:val="04A0" w:firstRow="1" w:lastRow="0" w:firstColumn="1" w:lastColumn="0" w:noHBand="0" w:noVBand="1"/>
      </w:tblPr>
      <w:tblGrid>
        <w:gridCol w:w="2829"/>
        <w:gridCol w:w="2595"/>
        <w:gridCol w:w="713"/>
        <w:gridCol w:w="727"/>
        <w:gridCol w:w="727"/>
        <w:gridCol w:w="727"/>
        <w:gridCol w:w="754"/>
      </w:tblGrid>
      <w:tr w:rsidR="008E0DE3" w:rsidRPr="008E0DE3" w14:paraId="5CC5C3AF" w14:textId="77777777" w:rsidTr="008E0DE3">
        <w:trPr>
          <w:tblCellSpacing w:w="15" w:type="dxa"/>
        </w:trPr>
        <w:tc>
          <w:tcPr>
            <w:tcW w:w="2870" w:type="dxa"/>
            <w:vMerge w:val="restart"/>
            <w:shd w:val="clear" w:color="auto" w:fill="3A414D"/>
            <w:vAlign w:val="center"/>
            <w:hideMark/>
          </w:tcPr>
          <w:p w14:paraId="2ABFD06D"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lastRenderedPageBreak/>
              <w:t>Billettype</w:t>
            </w:r>
          </w:p>
        </w:tc>
        <w:tc>
          <w:tcPr>
            <w:tcW w:w="2674" w:type="dxa"/>
            <w:vMerge w:val="restart"/>
            <w:shd w:val="clear" w:color="auto" w:fill="3A414D"/>
            <w:vAlign w:val="center"/>
            <w:hideMark/>
          </w:tcPr>
          <w:p w14:paraId="1BABBA0B"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Kategori</w:t>
            </w:r>
          </w:p>
        </w:tc>
        <w:tc>
          <w:tcPr>
            <w:tcW w:w="0" w:type="auto"/>
            <w:gridSpan w:val="5"/>
            <w:shd w:val="clear" w:color="auto" w:fill="3A414D"/>
            <w:vAlign w:val="center"/>
            <w:hideMark/>
          </w:tcPr>
          <w:p w14:paraId="260D06AC"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Antall soner / Pris</w:t>
            </w:r>
          </w:p>
        </w:tc>
      </w:tr>
      <w:tr w:rsidR="008E0DE3" w:rsidRPr="008E0DE3" w14:paraId="744D8FA1" w14:textId="77777777" w:rsidTr="008E0DE3">
        <w:trPr>
          <w:tblCellSpacing w:w="15" w:type="dxa"/>
        </w:trPr>
        <w:tc>
          <w:tcPr>
            <w:tcW w:w="0" w:type="auto"/>
            <w:vMerge/>
            <w:shd w:val="clear" w:color="auto" w:fill="3A414D"/>
            <w:vAlign w:val="center"/>
            <w:hideMark/>
          </w:tcPr>
          <w:p w14:paraId="29F0EA31" w14:textId="77777777" w:rsidR="008E0DE3" w:rsidRPr="008E0DE3" w:rsidRDefault="008E0DE3" w:rsidP="008E0DE3">
            <w:pPr>
              <w:spacing w:after="0" w:line="240" w:lineRule="auto"/>
              <w:rPr>
                <w:rFonts w:ascii="Arial" w:eastAsia="Times New Roman" w:hAnsi="Arial" w:cs="Arial"/>
                <w:color w:val="252525"/>
                <w:sz w:val="17"/>
                <w:szCs w:val="17"/>
                <w:lang w:val="en-US"/>
              </w:rPr>
            </w:pPr>
          </w:p>
        </w:tc>
        <w:tc>
          <w:tcPr>
            <w:tcW w:w="0" w:type="auto"/>
            <w:vMerge/>
            <w:shd w:val="clear" w:color="auto" w:fill="3A414D"/>
            <w:vAlign w:val="center"/>
            <w:hideMark/>
          </w:tcPr>
          <w:p w14:paraId="1A551692" w14:textId="77777777" w:rsidR="008E0DE3" w:rsidRPr="008E0DE3" w:rsidRDefault="008E0DE3" w:rsidP="008E0DE3">
            <w:pPr>
              <w:spacing w:after="0" w:line="240" w:lineRule="auto"/>
              <w:rPr>
                <w:rFonts w:ascii="Arial" w:eastAsia="Times New Roman" w:hAnsi="Arial" w:cs="Arial"/>
                <w:color w:val="252525"/>
                <w:sz w:val="17"/>
                <w:szCs w:val="17"/>
                <w:lang w:val="en-US"/>
              </w:rPr>
            </w:pPr>
          </w:p>
        </w:tc>
        <w:tc>
          <w:tcPr>
            <w:tcW w:w="697" w:type="dxa"/>
            <w:shd w:val="clear" w:color="auto" w:fill="3A414D"/>
            <w:vAlign w:val="center"/>
            <w:hideMark/>
          </w:tcPr>
          <w:p w14:paraId="4D4F9E6E"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 xml:space="preserve">1 </w:t>
            </w:r>
          </w:p>
        </w:tc>
        <w:tc>
          <w:tcPr>
            <w:tcW w:w="706" w:type="dxa"/>
            <w:shd w:val="clear" w:color="auto" w:fill="3A414D"/>
            <w:vAlign w:val="center"/>
            <w:hideMark/>
          </w:tcPr>
          <w:p w14:paraId="027DAF11"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2</w:t>
            </w:r>
          </w:p>
        </w:tc>
        <w:tc>
          <w:tcPr>
            <w:tcW w:w="706" w:type="dxa"/>
            <w:shd w:val="clear" w:color="auto" w:fill="3A414D"/>
            <w:vAlign w:val="center"/>
            <w:hideMark/>
          </w:tcPr>
          <w:p w14:paraId="2AB1CF22"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3</w:t>
            </w:r>
          </w:p>
        </w:tc>
        <w:tc>
          <w:tcPr>
            <w:tcW w:w="706" w:type="dxa"/>
            <w:shd w:val="clear" w:color="auto" w:fill="3A414D"/>
            <w:vAlign w:val="center"/>
            <w:hideMark/>
          </w:tcPr>
          <w:p w14:paraId="0264086D"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4</w:t>
            </w:r>
          </w:p>
        </w:tc>
        <w:tc>
          <w:tcPr>
            <w:tcW w:w="713" w:type="dxa"/>
            <w:shd w:val="clear" w:color="auto" w:fill="3A414D"/>
            <w:hideMark/>
          </w:tcPr>
          <w:p w14:paraId="52A3E323"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b/>
                <w:bCs/>
                <w:color w:val="FFFFFF"/>
                <w:sz w:val="17"/>
                <w:szCs w:val="17"/>
                <w:lang w:val="en-US"/>
              </w:rPr>
              <w:t xml:space="preserve">Alle soner </w:t>
            </w:r>
          </w:p>
        </w:tc>
      </w:tr>
      <w:tr w:rsidR="008E0DE3" w:rsidRPr="008E0DE3" w14:paraId="33EEF26F" w14:textId="77777777" w:rsidTr="008E0DE3">
        <w:trPr>
          <w:tblCellSpacing w:w="15" w:type="dxa"/>
        </w:trPr>
        <w:tc>
          <w:tcPr>
            <w:tcW w:w="0" w:type="auto"/>
            <w:vMerge w:val="restart"/>
            <w:shd w:val="clear" w:color="auto" w:fill="F0F0F0"/>
            <w:vAlign w:val="center"/>
            <w:hideMark/>
          </w:tcPr>
          <w:p w14:paraId="5E8C0321" w14:textId="77777777" w:rsidR="008E0DE3" w:rsidRPr="008E0DE3" w:rsidRDefault="00FF6A92" w:rsidP="008E0DE3">
            <w:pPr>
              <w:spacing w:after="0" w:line="240" w:lineRule="auto"/>
              <w:rPr>
                <w:rFonts w:ascii="Arial" w:eastAsia="Times New Roman" w:hAnsi="Arial" w:cs="Arial"/>
                <w:color w:val="252525"/>
                <w:sz w:val="17"/>
                <w:szCs w:val="17"/>
                <w:lang w:val="en-US"/>
              </w:rPr>
            </w:pPr>
            <w:hyperlink r:id="rId8" w:tooltip="Enkeltbillett" w:history="1">
              <w:r w:rsidR="008E0DE3" w:rsidRPr="008E0DE3">
                <w:rPr>
                  <w:rFonts w:ascii="Arial" w:eastAsia="Times New Roman" w:hAnsi="Arial" w:cs="Arial"/>
                  <w:b/>
                  <w:bCs/>
                  <w:color w:val="006BB3"/>
                  <w:sz w:val="21"/>
                  <w:szCs w:val="21"/>
                  <w:lang w:val="en-US"/>
                </w:rPr>
                <w:t>Enkeltbillett</w:t>
              </w:r>
            </w:hyperlink>
          </w:p>
        </w:tc>
        <w:tc>
          <w:tcPr>
            <w:tcW w:w="0" w:type="auto"/>
            <w:shd w:val="clear" w:color="auto" w:fill="F0F0F0"/>
            <w:vAlign w:val="center"/>
            <w:hideMark/>
          </w:tcPr>
          <w:p w14:paraId="3C60FBB4"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Voksen</w:t>
            </w:r>
          </w:p>
        </w:tc>
        <w:tc>
          <w:tcPr>
            <w:tcW w:w="0" w:type="auto"/>
            <w:shd w:val="clear" w:color="auto" w:fill="F0F0F0"/>
            <w:vAlign w:val="center"/>
            <w:hideMark/>
          </w:tcPr>
          <w:p w14:paraId="6FA505C0"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30</w:t>
            </w:r>
          </w:p>
        </w:tc>
        <w:tc>
          <w:tcPr>
            <w:tcW w:w="0" w:type="auto"/>
            <w:shd w:val="clear" w:color="auto" w:fill="F0F0F0"/>
            <w:vAlign w:val="center"/>
            <w:hideMark/>
          </w:tcPr>
          <w:p w14:paraId="28DA7D07"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50</w:t>
            </w:r>
          </w:p>
        </w:tc>
        <w:tc>
          <w:tcPr>
            <w:tcW w:w="0" w:type="auto"/>
            <w:shd w:val="clear" w:color="auto" w:fill="F0F0F0"/>
            <w:hideMark/>
          </w:tcPr>
          <w:p w14:paraId="60FB4D22"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70</w:t>
            </w:r>
          </w:p>
        </w:tc>
        <w:tc>
          <w:tcPr>
            <w:tcW w:w="0" w:type="auto"/>
            <w:shd w:val="clear" w:color="auto" w:fill="F0F0F0"/>
            <w:vAlign w:val="center"/>
            <w:hideMark/>
          </w:tcPr>
          <w:p w14:paraId="23CAF828"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90</w:t>
            </w:r>
          </w:p>
        </w:tc>
        <w:tc>
          <w:tcPr>
            <w:tcW w:w="0" w:type="auto"/>
            <w:shd w:val="clear" w:color="auto" w:fill="FFEEBC"/>
            <w:hideMark/>
          </w:tcPr>
          <w:p w14:paraId="3C9ED21A"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110</w:t>
            </w:r>
          </w:p>
        </w:tc>
      </w:tr>
      <w:tr w:rsidR="008E0DE3" w:rsidRPr="008E0DE3" w14:paraId="402ED4E3" w14:textId="77777777" w:rsidTr="008E0DE3">
        <w:trPr>
          <w:tblCellSpacing w:w="15" w:type="dxa"/>
        </w:trPr>
        <w:tc>
          <w:tcPr>
            <w:tcW w:w="0" w:type="auto"/>
            <w:vMerge/>
            <w:shd w:val="clear" w:color="auto" w:fill="F0F0F0"/>
            <w:vAlign w:val="center"/>
            <w:hideMark/>
          </w:tcPr>
          <w:p w14:paraId="70D74EA2" w14:textId="77777777" w:rsidR="008E0DE3" w:rsidRPr="008E0DE3" w:rsidRDefault="008E0DE3" w:rsidP="008E0DE3">
            <w:pPr>
              <w:spacing w:after="0" w:line="240" w:lineRule="auto"/>
              <w:rPr>
                <w:rFonts w:ascii="Arial" w:eastAsia="Times New Roman" w:hAnsi="Arial" w:cs="Arial"/>
                <w:color w:val="252525"/>
                <w:sz w:val="17"/>
                <w:szCs w:val="17"/>
                <w:lang w:val="en-US"/>
              </w:rPr>
            </w:pPr>
          </w:p>
        </w:tc>
        <w:tc>
          <w:tcPr>
            <w:tcW w:w="0" w:type="auto"/>
            <w:shd w:val="clear" w:color="auto" w:fill="F0F0F0"/>
            <w:vAlign w:val="center"/>
            <w:hideMark/>
          </w:tcPr>
          <w:p w14:paraId="0EF0938B"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Barn og honnør</w:t>
            </w:r>
          </w:p>
        </w:tc>
        <w:tc>
          <w:tcPr>
            <w:tcW w:w="0" w:type="auto"/>
            <w:shd w:val="clear" w:color="auto" w:fill="F0F0F0"/>
            <w:vAlign w:val="center"/>
            <w:hideMark/>
          </w:tcPr>
          <w:p w14:paraId="3E58E42F"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15</w:t>
            </w:r>
          </w:p>
        </w:tc>
        <w:tc>
          <w:tcPr>
            <w:tcW w:w="0" w:type="auto"/>
            <w:shd w:val="clear" w:color="auto" w:fill="F0F0F0"/>
            <w:vAlign w:val="center"/>
            <w:hideMark/>
          </w:tcPr>
          <w:p w14:paraId="7336AAC0"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25</w:t>
            </w:r>
          </w:p>
        </w:tc>
        <w:tc>
          <w:tcPr>
            <w:tcW w:w="0" w:type="auto"/>
            <w:shd w:val="clear" w:color="auto" w:fill="F0F0F0"/>
            <w:vAlign w:val="center"/>
            <w:hideMark/>
          </w:tcPr>
          <w:p w14:paraId="13417320"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35</w:t>
            </w:r>
          </w:p>
        </w:tc>
        <w:tc>
          <w:tcPr>
            <w:tcW w:w="0" w:type="auto"/>
            <w:shd w:val="clear" w:color="auto" w:fill="F0F0F0"/>
            <w:vAlign w:val="center"/>
            <w:hideMark/>
          </w:tcPr>
          <w:p w14:paraId="50EA5157"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45</w:t>
            </w:r>
          </w:p>
        </w:tc>
        <w:tc>
          <w:tcPr>
            <w:tcW w:w="0" w:type="auto"/>
            <w:shd w:val="clear" w:color="auto" w:fill="FFEEBC"/>
            <w:hideMark/>
          </w:tcPr>
          <w:p w14:paraId="483F51B8"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55</w:t>
            </w:r>
          </w:p>
        </w:tc>
      </w:tr>
      <w:tr w:rsidR="008E0DE3" w:rsidRPr="008E0DE3" w14:paraId="1E1CF05E" w14:textId="77777777" w:rsidTr="008E0DE3">
        <w:trPr>
          <w:tblCellSpacing w:w="15" w:type="dxa"/>
        </w:trPr>
        <w:tc>
          <w:tcPr>
            <w:tcW w:w="0" w:type="auto"/>
            <w:vMerge w:val="restart"/>
            <w:shd w:val="clear" w:color="auto" w:fill="E3E3E3"/>
            <w:vAlign w:val="center"/>
            <w:hideMark/>
          </w:tcPr>
          <w:p w14:paraId="5FA9E885" w14:textId="77777777" w:rsidR="008E0DE3" w:rsidRPr="008E0DE3" w:rsidRDefault="00FF6A92" w:rsidP="008E0DE3">
            <w:pPr>
              <w:spacing w:after="0" w:line="240" w:lineRule="auto"/>
              <w:rPr>
                <w:rFonts w:ascii="Arial" w:eastAsia="Times New Roman" w:hAnsi="Arial" w:cs="Arial"/>
                <w:color w:val="252525"/>
                <w:sz w:val="17"/>
                <w:szCs w:val="17"/>
                <w:lang w:val="en-US"/>
              </w:rPr>
            </w:pPr>
            <w:hyperlink r:id="rId9" w:tooltip="30-dagersbillett" w:history="1">
              <w:r w:rsidR="008E0DE3" w:rsidRPr="008E0DE3">
                <w:rPr>
                  <w:rFonts w:ascii="Arial" w:eastAsia="Times New Roman" w:hAnsi="Arial" w:cs="Arial"/>
                  <w:b/>
                  <w:bCs/>
                  <w:color w:val="006BB3"/>
                  <w:sz w:val="21"/>
                  <w:szCs w:val="21"/>
                  <w:lang w:val="en-US"/>
                </w:rPr>
                <w:t>30-dagersbillett</w:t>
              </w:r>
            </w:hyperlink>
          </w:p>
        </w:tc>
        <w:tc>
          <w:tcPr>
            <w:tcW w:w="0" w:type="auto"/>
            <w:shd w:val="clear" w:color="auto" w:fill="E3E3E3"/>
            <w:vAlign w:val="center"/>
            <w:hideMark/>
          </w:tcPr>
          <w:p w14:paraId="144A3147"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Voksen</w:t>
            </w:r>
          </w:p>
        </w:tc>
        <w:tc>
          <w:tcPr>
            <w:tcW w:w="0" w:type="auto"/>
            <w:shd w:val="clear" w:color="auto" w:fill="E3E3E3"/>
            <w:vAlign w:val="center"/>
            <w:hideMark/>
          </w:tcPr>
          <w:p w14:paraId="7D51270A"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630</w:t>
            </w:r>
          </w:p>
        </w:tc>
        <w:tc>
          <w:tcPr>
            <w:tcW w:w="0" w:type="auto"/>
            <w:shd w:val="clear" w:color="auto" w:fill="E3E3E3"/>
            <w:vAlign w:val="center"/>
            <w:hideMark/>
          </w:tcPr>
          <w:p w14:paraId="2D5397F4"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1100</w:t>
            </w:r>
          </w:p>
        </w:tc>
        <w:tc>
          <w:tcPr>
            <w:tcW w:w="0" w:type="auto"/>
            <w:shd w:val="clear" w:color="auto" w:fill="FFEEBC"/>
            <w:hideMark/>
          </w:tcPr>
          <w:p w14:paraId="7AF94613"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1570</w:t>
            </w:r>
          </w:p>
        </w:tc>
        <w:tc>
          <w:tcPr>
            <w:tcW w:w="0" w:type="auto"/>
            <w:shd w:val="clear" w:color="auto" w:fill="FFEEBC"/>
            <w:hideMark/>
          </w:tcPr>
          <w:p w14:paraId="48025052"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 xml:space="preserve">1570 </w:t>
            </w:r>
          </w:p>
        </w:tc>
        <w:tc>
          <w:tcPr>
            <w:tcW w:w="0" w:type="auto"/>
            <w:shd w:val="clear" w:color="auto" w:fill="FFEEBC"/>
            <w:hideMark/>
          </w:tcPr>
          <w:p w14:paraId="1BD038BA"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1570</w:t>
            </w:r>
          </w:p>
        </w:tc>
      </w:tr>
      <w:tr w:rsidR="008E0DE3" w:rsidRPr="008E0DE3" w14:paraId="317C72B1" w14:textId="77777777" w:rsidTr="008E0DE3">
        <w:trPr>
          <w:tblCellSpacing w:w="15" w:type="dxa"/>
        </w:trPr>
        <w:tc>
          <w:tcPr>
            <w:tcW w:w="0" w:type="auto"/>
            <w:vMerge/>
            <w:shd w:val="clear" w:color="auto" w:fill="E3E3E3"/>
            <w:vAlign w:val="center"/>
            <w:hideMark/>
          </w:tcPr>
          <w:p w14:paraId="573E13D9" w14:textId="77777777" w:rsidR="008E0DE3" w:rsidRPr="008E0DE3" w:rsidRDefault="008E0DE3" w:rsidP="008E0DE3">
            <w:pPr>
              <w:spacing w:after="0" w:line="240" w:lineRule="auto"/>
              <w:rPr>
                <w:rFonts w:ascii="Arial" w:eastAsia="Times New Roman" w:hAnsi="Arial" w:cs="Arial"/>
                <w:color w:val="252525"/>
                <w:sz w:val="17"/>
                <w:szCs w:val="17"/>
                <w:lang w:val="en-US"/>
              </w:rPr>
            </w:pPr>
          </w:p>
        </w:tc>
        <w:tc>
          <w:tcPr>
            <w:tcW w:w="0" w:type="auto"/>
            <w:shd w:val="clear" w:color="auto" w:fill="E3E3E3"/>
            <w:vAlign w:val="center"/>
            <w:hideMark/>
          </w:tcPr>
          <w:p w14:paraId="038C5389" w14:textId="77777777" w:rsidR="008E0DE3" w:rsidRPr="008E0DE3" w:rsidRDefault="008E0DE3" w:rsidP="008E0DE3">
            <w:pPr>
              <w:spacing w:after="0" w:line="240" w:lineRule="auto"/>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Barn, ungdom, honnør</w:t>
            </w:r>
          </w:p>
        </w:tc>
        <w:tc>
          <w:tcPr>
            <w:tcW w:w="0" w:type="auto"/>
            <w:shd w:val="clear" w:color="auto" w:fill="E3E3E3"/>
            <w:vAlign w:val="center"/>
            <w:hideMark/>
          </w:tcPr>
          <w:p w14:paraId="396D713B"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320</w:t>
            </w:r>
          </w:p>
        </w:tc>
        <w:tc>
          <w:tcPr>
            <w:tcW w:w="0" w:type="auto"/>
            <w:shd w:val="clear" w:color="auto" w:fill="E3E3E3"/>
            <w:vAlign w:val="center"/>
            <w:hideMark/>
          </w:tcPr>
          <w:p w14:paraId="369DC2B2"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390</w:t>
            </w:r>
          </w:p>
        </w:tc>
        <w:tc>
          <w:tcPr>
            <w:tcW w:w="0" w:type="auto"/>
            <w:shd w:val="clear" w:color="auto" w:fill="FFEEBC"/>
            <w:vAlign w:val="center"/>
            <w:hideMark/>
          </w:tcPr>
          <w:p w14:paraId="5D42ED78"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460</w:t>
            </w:r>
          </w:p>
        </w:tc>
        <w:tc>
          <w:tcPr>
            <w:tcW w:w="0" w:type="auto"/>
            <w:shd w:val="clear" w:color="auto" w:fill="FFEEBC"/>
            <w:vAlign w:val="center"/>
            <w:hideMark/>
          </w:tcPr>
          <w:p w14:paraId="6B9D0762"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460</w:t>
            </w:r>
          </w:p>
        </w:tc>
        <w:tc>
          <w:tcPr>
            <w:tcW w:w="0" w:type="auto"/>
            <w:shd w:val="clear" w:color="auto" w:fill="FFEEBC"/>
            <w:vAlign w:val="center"/>
            <w:hideMark/>
          </w:tcPr>
          <w:p w14:paraId="02311EEF" w14:textId="77777777" w:rsidR="008E0DE3" w:rsidRPr="008E0DE3" w:rsidRDefault="008E0DE3" w:rsidP="008E0DE3">
            <w:pPr>
              <w:spacing w:after="0" w:line="240" w:lineRule="auto"/>
              <w:jc w:val="center"/>
              <w:rPr>
                <w:rFonts w:ascii="Arial" w:eastAsia="Times New Roman" w:hAnsi="Arial" w:cs="Arial"/>
                <w:color w:val="252525"/>
                <w:sz w:val="17"/>
                <w:szCs w:val="17"/>
                <w:lang w:val="en-US"/>
              </w:rPr>
            </w:pPr>
            <w:r w:rsidRPr="008E0DE3">
              <w:rPr>
                <w:rFonts w:ascii="Arial" w:eastAsia="Times New Roman" w:hAnsi="Arial" w:cs="Arial"/>
                <w:color w:val="252525"/>
                <w:sz w:val="17"/>
                <w:szCs w:val="17"/>
                <w:lang w:val="en-US"/>
              </w:rPr>
              <w:t>460</w:t>
            </w:r>
          </w:p>
        </w:tc>
      </w:tr>
    </w:tbl>
    <w:p w14:paraId="0E48CF2A" w14:textId="77777777" w:rsidR="00264966" w:rsidRDefault="00264966" w:rsidP="00954BE7"/>
    <w:p w14:paraId="1A404717" w14:textId="77777777" w:rsidR="001C765B" w:rsidRDefault="00264966" w:rsidP="00954BE7">
      <w:r>
        <w:t xml:space="preserve">Alle relasjoner </w:t>
      </w:r>
      <w:r w:rsidR="008D028E">
        <w:t xml:space="preserve">i dette systemet </w:t>
      </w:r>
      <w:r>
        <w:t>kan</w:t>
      </w:r>
      <w:r w:rsidR="008E0DE3">
        <w:t xml:space="preserve"> da deles i fem kategorier; null, en, to, tre eller flere enn tre sonekryssinger. </w:t>
      </w:r>
      <w:r w:rsidR="004B0F87">
        <w:t>Her er det flere fremgangsmåter. J</w:t>
      </w:r>
      <w:r w:rsidR="008E0DE3">
        <w:t xml:space="preserve">eg anbefaler kart </w:t>
      </w:r>
      <w:r w:rsidR="004B0F87">
        <w:t>og fargeblyanter</w:t>
      </w:r>
      <w:r w:rsidR="001C765B">
        <w:t>.</w:t>
      </w:r>
    </w:p>
    <w:p w14:paraId="2EF4061D" w14:textId="77777777" w:rsidR="004B0F87" w:rsidRPr="00954BE7" w:rsidRDefault="004B0F87" w:rsidP="00954BE7">
      <w:r>
        <w:t>For Ruters takstsystem ga dette</w:t>
      </w:r>
      <w:r w:rsidR="001C765B">
        <w:t xml:space="preserve"> </w:t>
      </w:r>
      <w:r>
        <w:t>følgende:</w:t>
      </w:r>
    </w:p>
    <w:p w14:paraId="629B4852" w14:textId="77777777" w:rsidR="00954BE7" w:rsidRDefault="008E0DE3" w:rsidP="00954BE7">
      <w:r w:rsidRPr="008E0DE3">
        <w:rPr>
          <w:noProof/>
          <w:lang w:eastAsia="nb-NO"/>
        </w:rPr>
        <w:drawing>
          <wp:inline distT="0" distB="0" distL="0" distR="0" wp14:anchorId="566FF4C2" wp14:editId="200D9D95">
            <wp:extent cx="5760720" cy="144917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49173"/>
                    </a:xfrm>
                    <a:prstGeom prst="rect">
                      <a:avLst/>
                    </a:prstGeom>
                    <a:noFill/>
                    <a:ln>
                      <a:noFill/>
                    </a:ln>
                  </pic:spPr>
                </pic:pic>
              </a:graphicData>
            </a:graphic>
          </wp:inline>
        </w:drawing>
      </w:r>
    </w:p>
    <w:p w14:paraId="7A325E0F" w14:textId="77777777" w:rsidR="008D028E" w:rsidRDefault="000B2D14" w:rsidP="00954BE7">
      <w:r>
        <w:t>Som det fremgår av øverste venstre hjørne av denne figuren er s</w:t>
      </w:r>
      <w:r w:rsidR="008D028E">
        <w:t xml:space="preserve">onenummer 1 </w:t>
      </w:r>
      <w:r>
        <w:t>i Ruters system</w:t>
      </w:r>
      <w:r w:rsidR="008D028E">
        <w:t xml:space="preserve"> gitt nummer 3000 </w:t>
      </w:r>
      <w:r>
        <w:t>her. Relasjonen 3000-3000 er gitt takstnummer 201 som betyr ingen sonekryssinger. Det samme har alle relasjonene langs diagonalen fått.</w:t>
      </w:r>
    </w:p>
    <w:p w14:paraId="794F5158" w14:textId="77777777" w:rsidR="00954BE7" w:rsidRDefault="004B0F87" w:rsidP="00954BE7">
      <w:r>
        <w:t>De</w:t>
      </w:r>
      <w:r w:rsidR="001C765B">
        <w:t>tte gjøres for alle relevante relasjoner</w:t>
      </w:r>
      <w:r w:rsidR="002509BD">
        <w:t xml:space="preserve"> (relasjonene i alle sonetakstsystemene i modellområdet)</w:t>
      </w:r>
      <w:r w:rsidR="001C765B">
        <w:t>. Resultatet skal være e</w:t>
      </w:r>
      <w:r w:rsidR="00413DC1">
        <w:t>n DBF fil som</w:t>
      </w:r>
      <w:r w:rsidR="001C765B">
        <w:t xml:space="preserve"> nedenfor. RETNING settes foreløpig til 0 for alle relasjoner. For DOM_IC ble det totalt 1922 slike relasjoner.</w:t>
      </w:r>
      <w:r w:rsidR="00413DC1">
        <w:t xml:space="preserve"> Filen på e-rommet heter “</w:t>
      </w:r>
      <w:proofErr w:type="spellStart"/>
      <w:r w:rsidR="00413DC1">
        <w:t>dom_ic_sonetakst</w:t>
      </w:r>
      <w:proofErr w:type="spellEnd"/>
      <w:r w:rsidR="00413DC1">
        <w:t>”</w:t>
      </w:r>
    </w:p>
    <w:p w14:paraId="72F08C62" w14:textId="77777777" w:rsidR="001C765B" w:rsidRDefault="001C765B" w:rsidP="00954BE7">
      <w:r w:rsidRPr="001C765B">
        <w:rPr>
          <w:noProof/>
          <w:lang w:eastAsia="nb-NO"/>
        </w:rPr>
        <w:lastRenderedPageBreak/>
        <w:drawing>
          <wp:inline distT="0" distB="0" distL="0" distR="0" wp14:anchorId="45630E35" wp14:editId="0424E01F">
            <wp:extent cx="3057525" cy="32480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3248025"/>
                    </a:xfrm>
                    <a:prstGeom prst="rect">
                      <a:avLst/>
                    </a:prstGeom>
                    <a:noFill/>
                    <a:ln>
                      <a:noFill/>
                    </a:ln>
                  </pic:spPr>
                </pic:pic>
              </a:graphicData>
            </a:graphic>
          </wp:inline>
        </w:drawing>
      </w:r>
    </w:p>
    <w:p w14:paraId="11468FB4" w14:textId="77777777" w:rsidR="00413DC1" w:rsidRPr="00954BE7" w:rsidRDefault="00413DC1" w:rsidP="00954BE7">
      <w:r>
        <w:t xml:space="preserve">Der det skal være egen avstandstakst koder man her bare den relasjonen som er fra og til samme </w:t>
      </w:r>
      <w:r w:rsidR="000B2D14">
        <w:t>takst</w:t>
      </w:r>
      <w:r>
        <w:t>sone og tilordner et</w:t>
      </w:r>
      <w:r w:rsidR="003E5207">
        <w:t xml:space="preserve"> takstnummer. </w:t>
      </w:r>
      <w:r>
        <w:t>For eksem</w:t>
      </w:r>
      <w:r w:rsidR="009F2CD1">
        <w:t xml:space="preserve">pel </w:t>
      </w:r>
      <w:r w:rsidR="000B2D14">
        <w:t>er det laget</w:t>
      </w:r>
      <w:r w:rsidR="009F2CD1">
        <w:t xml:space="preserve"> avstandstakst i Oppland fylke for DOM_IC. Alle grunnkretser</w:t>
      </w:r>
      <w:r w:rsidR="003E5207">
        <w:t xml:space="preserve"> i Oppland</w:t>
      </w:r>
      <w:r w:rsidR="009F2CD1">
        <w:t xml:space="preserve"> ble da tilordnet sonetakstnummeret </w:t>
      </w:r>
      <w:r w:rsidR="003E5207">
        <w:t>5000 i “</w:t>
      </w:r>
      <w:proofErr w:type="spellStart"/>
      <w:r w:rsidR="003E5207">
        <w:t>dom_ic_soner</w:t>
      </w:r>
      <w:proofErr w:type="spellEnd"/>
      <w:r w:rsidR="003E5207">
        <w:t>”. Videre ble den ene relasjonen i dette systemet (fra 5000 til 5000) tilordnet takstnummer 500 i “</w:t>
      </w:r>
      <w:proofErr w:type="spellStart"/>
      <w:r w:rsidR="003E5207">
        <w:t>dom_ic_sonetakst</w:t>
      </w:r>
      <w:proofErr w:type="spellEnd"/>
      <w:r w:rsidR="003E5207">
        <w:t>”.</w:t>
      </w:r>
    </w:p>
    <w:p w14:paraId="5B03A8DB" w14:textId="77777777" w:rsidR="00CB7697" w:rsidRDefault="00413DC1" w:rsidP="00413DC1">
      <w:pPr>
        <w:pStyle w:val="Overskrift1"/>
      </w:pPr>
      <w:r>
        <w:t xml:space="preserve">Femte og siste trinn: Tilordne takster til alle takstnumre </w:t>
      </w:r>
    </w:p>
    <w:p w14:paraId="3671C9CD" w14:textId="77777777" w:rsidR="00413DC1" w:rsidRDefault="00413DC1" w:rsidP="00413DC1"/>
    <w:p w14:paraId="46579B0F" w14:textId="77777777" w:rsidR="00413DC1" w:rsidRPr="00413DC1" w:rsidRDefault="003E5207" w:rsidP="00413DC1">
      <w:r>
        <w:t xml:space="preserve">For alle takstnumre skal det nå tilordnes priser for enkeltbillett og månedskort. Dette gjøres i en </w:t>
      </w:r>
      <w:proofErr w:type="spellStart"/>
      <w:r>
        <w:t>dbf</w:t>
      </w:r>
      <w:proofErr w:type="spellEnd"/>
      <w:r>
        <w:t xml:space="preserve"> fil som nedenfor. </w:t>
      </w:r>
      <w:r w:rsidR="00041C16" w:rsidRPr="00041C16">
        <w:t>Hvis det ikke er kodet noe på E_SONE og M</w:t>
      </w:r>
      <w:r w:rsidR="00041C16">
        <w:t>_SONE gjelder avstandstakst. Dette gjelde</w:t>
      </w:r>
      <w:r w:rsidR="004D6CC0">
        <w:t>r her</w:t>
      </w:r>
      <w:r w:rsidR="00041C16">
        <w:t xml:space="preserve"> for 500 (Oppland), 800 og 0.</w:t>
      </w:r>
    </w:p>
    <w:p w14:paraId="29E46345" w14:textId="77777777" w:rsidR="00361072" w:rsidRDefault="003E5207">
      <w:r w:rsidRPr="003E5207">
        <w:rPr>
          <w:noProof/>
          <w:lang w:eastAsia="nb-NO"/>
        </w:rPr>
        <w:drawing>
          <wp:inline distT="0" distB="0" distL="0" distR="0" wp14:anchorId="15B6C913" wp14:editId="204CA024">
            <wp:extent cx="5760720" cy="2170011"/>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70011"/>
                    </a:xfrm>
                    <a:prstGeom prst="rect">
                      <a:avLst/>
                    </a:prstGeom>
                    <a:noFill/>
                    <a:ln>
                      <a:noFill/>
                    </a:ln>
                  </pic:spPr>
                </pic:pic>
              </a:graphicData>
            </a:graphic>
          </wp:inline>
        </w:drawing>
      </w:r>
    </w:p>
    <w:p w14:paraId="39C11938" w14:textId="77777777" w:rsidR="00AE5688" w:rsidRDefault="00041C16">
      <w:r>
        <w:t>Forklaring på headinger:</w:t>
      </w:r>
    </w:p>
    <w:p w14:paraId="3FF15A4D" w14:textId="77777777" w:rsidR="00AE5688" w:rsidRDefault="00AE5688">
      <w:r>
        <w:br w:type="page"/>
      </w:r>
    </w:p>
    <w:p w14:paraId="29221776" w14:textId="77777777" w:rsidR="00041C16" w:rsidRDefault="00041C16"/>
    <w:tbl>
      <w:tblPr>
        <w:tblStyle w:val="Tabellrutenett"/>
        <w:tblW w:w="0" w:type="auto"/>
        <w:tblLook w:val="04A0" w:firstRow="1" w:lastRow="0" w:firstColumn="1" w:lastColumn="0" w:noHBand="0" w:noVBand="1"/>
      </w:tblPr>
      <w:tblGrid>
        <w:gridCol w:w="1200"/>
        <w:gridCol w:w="5026"/>
      </w:tblGrid>
      <w:tr w:rsidR="004D6CC0" w:rsidRPr="004D6CC0" w14:paraId="47E10D20" w14:textId="77777777" w:rsidTr="00B6571B">
        <w:trPr>
          <w:trHeight w:val="300"/>
        </w:trPr>
        <w:tc>
          <w:tcPr>
            <w:tcW w:w="1200" w:type="dxa"/>
            <w:noWrap/>
            <w:hideMark/>
          </w:tcPr>
          <w:p w14:paraId="1BEADB64" w14:textId="77777777" w:rsidR="004D6CC0" w:rsidRPr="004D6CC0" w:rsidRDefault="004D6CC0">
            <w:r w:rsidRPr="004D6CC0">
              <w:t>TAKST</w:t>
            </w:r>
          </w:p>
        </w:tc>
        <w:tc>
          <w:tcPr>
            <w:tcW w:w="5026" w:type="dxa"/>
            <w:noWrap/>
            <w:hideMark/>
          </w:tcPr>
          <w:p w14:paraId="1BEF56C9" w14:textId="77777777" w:rsidR="004D6CC0" w:rsidRPr="004D6CC0" w:rsidRDefault="004D6CC0">
            <w:r w:rsidRPr="004D6CC0">
              <w:t>Takstnummer som kodet ovenfor</w:t>
            </w:r>
          </w:p>
        </w:tc>
      </w:tr>
      <w:tr w:rsidR="004D6CC0" w:rsidRPr="004D6CC0" w14:paraId="0AB8ACF6" w14:textId="77777777" w:rsidTr="004D6CC0">
        <w:trPr>
          <w:trHeight w:val="300"/>
        </w:trPr>
        <w:tc>
          <w:tcPr>
            <w:tcW w:w="1200" w:type="dxa"/>
            <w:noWrap/>
            <w:hideMark/>
          </w:tcPr>
          <w:p w14:paraId="1FC14FA1" w14:textId="77777777" w:rsidR="004D6CC0" w:rsidRPr="004D6CC0" w:rsidRDefault="004D6CC0">
            <w:r w:rsidRPr="004D6CC0">
              <w:t>AAR</w:t>
            </w:r>
          </w:p>
        </w:tc>
        <w:tc>
          <w:tcPr>
            <w:tcW w:w="5026" w:type="dxa"/>
            <w:noWrap/>
            <w:hideMark/>
          </w:tcPr>
          <w:p w14:paraId="5618A682" w14:textId="77777777" w:rsidR="004D6CC0" w:rsidRPr="004D6CC0" w:rsidRDefault="004D6CC0">
            <w:r w:rsidRPr="004D6CC0">
              <w:t>Pris</w:t>
            </w:r>
            <w:r>
              <w:t>-</w:t>
            </w:r>
            <w:r w:rsidRPr="004D6CC0">
              <w:t>år for takstene, deflateres aut</w:t>
            </w:r>
            <w:r>
              <w:t>o</w:t>
            </w:r>
            <w:r w:rsidRPr="004D6CC0">
              <w:t>matisk til 2001</w:t>
            </w:r>
          </w:p>
        </w:tc>
      </w:tr>
      <w:tr w:rsidR="004D6CC0" w:rsidRPr="004D6CC0" w14:paraId="318A0DB3" w14:textId="77777777" w:rsidTr="00AB40F4">
        <w:trPr>
          <w:trHeight w:val="300"/>
        </w:trPr>
        <w:tc>
          <w:tcPr>
            <w:tcW w:w="1200" w:type="dxa"/>
            <w:noWrap/>
            <w:hideMark/>
          </w:tcPr>
          <w:p w14:paraId="69D003C6" w14:textId="77777777" w:rsidR="004D6CC0" w:rsidRPr="004D6CC0" w:rsidRDefault="004D6CC0">
            <w:r w:rsidRPr="004D6CC0">
              <w:t>E_SONE</w:t>
            </w:r>
          </w:p>
        </w:tc>
        <w:tc>
          <w:tcPr>
            <w:tcW w:w="5026" w:type="dxa"/>
            <w:noWrap/>
            <w:hideMark/>
          </w:tcPr>
          <w:p w14:paraId="6C2DBBC9" w14:textId="77777777" w:rsidR="004D6CC0" w:rsidRPr="004D6CC0" w:rsidRDefault="004D6CC0">
            <w:r w:rsidRPr="004D6CC0">
              <w:t>Enkeltbillett</w:t>
            </w:r>
          </w:p>
        </w:tc>
      </w:tr>
      <w:tr w:rsidR="004D6CC0" w:rsidRPr="004D6CC0" w14:paraId="76E0D94B" w14:textId="77777777" w:rsidTr="00C44415">
        <w:trPr>
          <w:trHeight w:val="300"/>
        </w:trPr>
        <w:tc>
          <w:tcPr>
            <w:tcW w:w="1200" w:type="dxa"/>
            <w:noWrap/>
            <w:hideMark/>
          </w:tcPr>
          <w:p w14:paraId="183C5349" w14:textId="77777777" w:rsidR="004D6CC0" w:rsidRPr="004D6CC0" w:rsidRDefault="004D6CC0">
            <w:r w:rsidRPr="004D6CC0">
              <w:t>M_SONE</w:t>
            </w:r>
          </w:p>
        </w:tc>
        <w:tc>
          <w:tcPr>
            <w:tcW w:w="5026" w:type="dxa"/>
            <w:noWrap/>
            <w:hideMark/>
          </w:tcPr>
          <w:p w14:paraId="5D53E764" w14:textId="77777777" w:rsidR="004D6CC0" w:rsidRPr="004D6CC0" w:rsidRDefault="004D6CC0">
            <w:r w:rsidRPr="004D6CC0">
              <w:t>Månedskort</w:t>
            </w:r>
          </w:p>
        </w:tc>
      </w:tr>
      <w:tr w:rsidR="004D6CC0" w:rsidRPr="004D6CC0" w14:paraId="1FE87ABC" w14:textId="77777777" w:rsidTr="00FD09A6">
        <w:trPr>
          <w:trHeight w:val="300"/>
        </w:trPr>
        <w:tc>
          <w:tcPr>
            <w:tcW w:w="1200" w:type="dxa"/>
            <w:noWrap/>
            <w:hideMark/>
          </w:tcPr>
          <w:p w14:paraId="2AFCF6A7" w14:textId="77777777" w:rsidR="004D6CC0" w:rsidRPr="004D6CC0" w:rsidRDefault="004D6CC0">
            <w:r w:rsidRPr="004D6CC0">
              <w:t>E_MIN</w:t>
            </w:r>
          </w:p>
        </w:tc>
        <w:tc>
          <w:tcPr>
            <w:tcW w:w="5026" w:type="dxa"/>
            <w:noWrap/>
            <w:hideMark/>
          </w:tcPr>
          <w:p w14:paraId="458F276E" w14:textId="77777777" w:rsidR="004D6CC0" w:rsidRPr="004D6CC0" w:rsidRDefault="004D6CC0">
            <w:r w:rsidRPr="004D6CC0">
              <w:t>Minstepris enkel</w:t>
            </w:r>
            <w:r>
              <w:t>t</w:t>
            </w:r>
            <w:r w:rsidRPr="004D6CC0">
              <w:t>billett</w:t>
            </w:r>
          </w:p>
        </w:tc>
      </w:tr>
      <w:tr w:rsidR="004D6CC0" w:rsidRPr="004D6CC0" w14:paraId="5429872E" w14:textId="77777777" w:rsidTr="00E576C4">
        <w:trPr>
          <w:trHeight w:val="300"/>
        </w:trPr>
        <w:tc>
          <w:tcPr>
            <w:tcW w:w="1200" w:type="dxa"/>
            <w:noWrap/>
            <w:hideMark/>
          </w:tcPr>
          <w:p w14:paraId="34B9349F" w14:textId="77777777" w:rsidR="004D6CC0" w:rsidRPr="004D6CC0" w:rsidRDefault="004D6CC0">
            <w:r w:rsidRPr="004D6CC0">
              <w:t>E_KONST</w:t>
            </w:r>
          </w:p>
        </w:tc>
        <w:tc>
          <w:tcPr>
            <w:tcW w:w="5026" w:type="dxa"/>
            <w:noWrap/>
            <w:hideMark/>
          </w:tcPr>
          <w:p w14:paraId="402485B0" w14:textId="77777777" w:rsidR="004D6CC0" w:rsidRPr="004D6CC0" w:rsidRDefault="004D6CC0">
            <w:r w:rsidRPr="004D6CC0">
              <w:t>Konstantledd enkeltbillett</w:t>
            </w:r>
          </w:p>
        </w:tc>
      </w:tr>
      <w:tr w:rsidR="004D6CC0" w:rsidRPr="004D6CC0" w14:paraId="071E5FC2" w14:textId="77777777" w:rsidTr="004D6CC0">
        <w:trPr>
          <w:trHeight w:val="300"/>
        </w:trPr>
        <w:tc>
          <w:tcPr>
            <w:tcW w:w="1200" w:type="dxa"/>
            <w:noWrap/>
            <w:hideMark/>
          </w:tcPr>
          <w:p w14:paraId="5833CC2C" w14:textId="77777777" w:rsidR="004D6CC0" w:rsidRPr="004D6CC0" w:rsidRDefault="004D6CC0">
            <w:r w:rsidRPr="004D6CC0">
              <w:t>E_KM</w:t>
            </w:r>
          </w:p>
        </w:tc>
        <w:tc>
          <w:tcPr>
            <w:tcW w:w="5026" w:type="dxa"/>
            <w:noWrap/>
            <w:hideMark/>
          </w:tcPr>
          <w:p w14:paraId="562C935E" w14:textId="77777777" w:rsidR="004D6CC0" w:rsidRPr="004D6CC0" w:rsidRDefault="004D6CC0">
            <w:r w:rsidRPr="004D6CC0">
              <w:t>Kilometer-ledd (avstand langs vei) for enkeltbillett</w:t>
            </w:r>
          </w:p>
        </w:tc>
      </w:tr>
      <w:tr w:rsidR="004D6CC0" w:rsidRPr="004D6CC0" w14:paraId="3E223E44" w14:textId="77777777" w:rsidTr="002D6279">
        <w:trPr>
          <w:trHeight w:val="300"/>
        </w:trPr>
        <w:tc>
          <w:tcPr>
            <w:tcW w:w="1200" w:type="dxa"/>
            <w:noWrap/>
            <w:hideMark/>
          </w:tcPr>
          <w:p w14:paraId="334C4A74" w14:textId="77777777" w:rsidR="004D6CC0" w:rsidRPr="004D6CC0" w:rsidRDefault="004D6CC0">
            <w:r w:rsidRPr="004D6CC0">
              <w:t>E_MAKS</w:t>
            </w:r>
          </w:p>
        </w:tc>
        <w:tc>
          <w:tcPr>
            <w:tcW w:w="5026" w:type="dxa"/>
            <w:noWrap/>
            <w:hideMark/>
          </w:tcPr>
          <w:p w14:paraId="10D107BB" w14:textId="77777777" w:rsidR="004D6CC0" w:rsidRPr="004D6CC0" w:rsidRDefault="004D6CC0">
            <w:r w:rsidRPr="004D6CC0">
              <w:t>Makspris enkeltbillett</w:t>
            </w:r>
          </w:p>
        </w:tc>
      </w:tr>
      <w:tr w:rsidR="004D6CC0" w:rsidRPr="004D6CC0" w14:paraId="1263E907" w14:textId="77777777" w:rsidTr="000C34AE">
        <w:trPr>
          <w:trHeight w:val="300"/>
        </w:trPr>
        <w:tc>
          <w:tcPr>
            <w:tcW w:w="1200" w:type="dxa"/>
            <w:noWrap/>
            <w:hideMark/>
          </w:tcPr>
          <w:p w14:paraId="42BB8C6C" w14:textId="77777777" w:rsidR="004D6CC0" w:rsidRPr="004D6CC0" w:rsidRDefault="004D6CC0">
            <w:r w:rsidRPr="004D6CC0">
              <w:t>M_MIN</w:t>
            </w:r>
          </w:p>
        </w:tc>
        <w:tc>
          <w:tcPr>
            <w:tcW w:w="5026" w:type="dxa"/>
            <w:noWrap/>
            <w:hideMark/>
          </w:tcPr>
          <w:p w14:paraId="3006DD48" w14:textId="77777777" w:rsidR="004D6CC0" w:rsidRPr="004D6CC0" w:rsidRDefault="004D6CC0">
            <w:r w:rsidRPr="004D6CC0">
              <w:t>Minstepris månedskort</w:t>
            </w:r>
          </w:p>
        </w:tc>
      </w:tr>
      <w:tr w:rsidR="004D6CC0" w:rsidRPr="004D6CC0" w14:paraId="5EA879D5" w14:textId="77777777" w:rsidTr="00B903A0">
        <w:trPr>
          <w:trHeight w:val="300"/>
        </w:trPr>
        <w:tc>
          <w:tcPr>
            <w:tcW w:w="1200" w:type="dxa"/>
            <w:noWrap/>
            <w:hideMark/>
          </w:tcPr>
          <w:p w14:paraId="1DEF6B2A" w14:textId="77777777" w:rsidR="004D6CC0" w:rsidRPr="004D6CC0" w:rsidRDefault="004D6CC0">
            <w:r w:rsidRPr="004D6CC0">
              <w:t>M_KONST</w:t>
            </w:r>
          </w:p>
        </w:tc>
        <w:tc>
          <w:tcPr>
            <w:tcW w:w="5026" w:type="dxa"/>
            <w:noWrap/>
            <w:hideMark/>
          </w:tcPr>
          <w:p w14:paraId="04EEF7E3" w14:textId="77777777" w:rsidR="004D6CC0" w:rsidRPr="004D6CC0" w:rsidRDefault="004D6CC0">
            <w:r w:rsidRPr="004D6CC0">
              <w:t>Konstantledd månedskort</w:t>
            </w:r>
          </w:p>
        </w:tc>
      </w:tr>
      <w:tr w:rsidR="004D6CC0" w:rsidRPr="004D6CC0" w14:paraId="015394F8" w14:textId="77777777" w:rsidTr="004D6CC0">
        <w:trPr>
          <w:trHeight w:val="300"/>
        </w:trPr>
        <w:tc>
          <w:tcPr>
            <w:tcW w:w="1200" w:type="dxa"/>
            <w:noWrap/>
            <w:hideMark/>
          </w:tcPr>
          <w:p w14:paraId="0056CD54" w14:textId="77777777" w:rsidR="004D6CC0" w:rsidRPr="004D6CC0" w:rsidRDefault="004D6CC0">
            <w:r w:rsidRPr="004D6CC0">
              <w:t>M_KM</w:t>
            </w:r>
          </w:p>
        </w:tc>
        <w:tc>
          <w:tcPr>
            <w:tcW w:w="5026" w:type="dxa"/>
            <w:noWrap/>
            <w:hideMark/>
          </w:tcPr>
          <w:p w14:paraId="1D0FC70A" w14:textId="77777777" w:rsidR="004D6CC0" w:rsidRPr="004D6CC0" w:rsidRDefault="004D6CC0">
            <w:r w:rsidRPr="004D6CC0">
              <w:t>Kilometer-ledd (avstand langs vei) for månedskort</w:t>
            </w:r>
          </w:p>
        </w:tc>
      </w:tr>
      <w:tr w:rsidR="004D6CC0" w:rsidRPr="004D6CC0" w14:paraId="7B239689" w14:textId="77777777" w:rsidTr="00B94603">
        <w:trPr>
          <w:trHeight w:val="300"/>
        </w:trPr>
        <w:tc>
          <w:tcPr>
            <w:tcW w:w="1200" w:type="dxa"/>
            <w:noWrap/>
            <w:hideMark/>
          </w:tcPr>
          <w:p w14:paraId="7E8690C8" w14:textId="77777777" w:rsidR="004D6CC0" w:rsidRPr="004D6CC0" w:rsidRDefault="004D6CC0">
            <w:r w:rsidRPr="004D6CC0">
              <w:t>M_MAKS</w:t>
            </w:r>
          </w:p>
        </w:tc>
        <w:tc>
          <w:tcPr>
            <w:tcW w:w="5026" w:type="dxa"/>
            <w:noWrap/>
            <w:hideMark/>
          </w:tcPr>
          <w:p w14:paraId="0B6D4CAF" w14:textId="77777777" w:rsidR="004D6CC0" w:rsidRPr="004D6CC0" w:rsidRDefault="004D6CC0">
            <w:r w:rsidRPr="004D6CC0">
              <w:t>Makspris månedskort</w:t>
            </w:r>
          </w:p>
        </w:tc>
      </w:tr>
    </w:tbl>
    <w:p w14:paraId="1F52F21E" w14:textId="77777777" w:rsidR="00041C16" w:rsidRDefault="00041C16"/>
    <w:p w14:paraId="4C1F358D" w14:textId="77777777" w:rsidR="004D6CC0" w:rsidRDefault="004D6CC0">
      <w:r>
        <w:t>0 under TAKST</w:t>
      </w:r>
      <w:r w:rsidR="00135C78">
        <w:t xml:space="preserve"> i denne filen angir avstandstakst for alle grunnkretsrelasjoner som ikke er blitt tilordnet takst enten som del av et sonetakstsystem eller med egen avstandstakst. Det er altså en slags resttakst.</w:t>
      </w:r>
    </w:p>
    <w:p w14:paraId="64563517" w14:textId="77777777" w:rsidR="00135C78" w:rsidRDefault="00135C78" w:rsidP="00135C78">
      <w:pPr>
        <w:pStyle w:val="Overskrift1"/>
      </w:pPr>
      <w:r>
        <w:t>Avslutning:</w:t>
      </w:r>
    </w:p>
    <w:p w14:paraId="5A3FAF83" w14:textId="77777777" w:rsidR="00135C78" w:rsidRDefault="00135C78" w:rsidP="00135C78"/>
    <w:p w14:paraId="583D0D9A" w14:textId="77777777" w:rsidR="00135C78" w:rsidRDefault="00135C78" w:rsidP="00135C78">
      <w:r>
        <w:t xml:space="preserve">De tre </w:t>
      </w:r>
      <w:proofErr w:type="spellStart"/>
      <w:r>
        <w:t>dbf</w:t>
      </w:r>
      <w:proofErr w:type="spellEnd"/>
      <w:r>
        <w:t>- filene som er laget legges inn i brukergrensesnittet på vanlig måte.</w:t>
      </w:r>
      <w:r w:rsidR="001D361A">
        <w:t xml:space="preserve"> Sonefilen legges under Key med navn “Koblingstabell for </w:t>
      </w:r>
      <w:proofErr w:type="spellStart"/>
      <w:r w:rsidR="001D361A">
        <w:t>takssoner</w:t>
      </w:r>
      <w:proofErr w:type="spellEnd"/>
      <w:r w:rsidR="001D361A">
        <w:t>”, sonetakstfilen legges under “Takstnummer mellom takstsoner og takstabellen legges under “Taksttabell for soner og avstandsbasert”.</w:t>
      </w:r>
    </w:p>
    <w:p w14:paraId="393FC50E" w14:textId="77777777" w:rsidR="001D361A" w:rsidRDefault="001D361A" w:rsidP="00135C78"/>
    <w:p w14:paraId="5E778A71" w14:textId="77777777" w:rsidR="001D361A" w:rsidRPr="00135C78" w:rsidRDefault="001D361A" w:rsidP="001D361A">
      <w:pPr>
        <w:pStyle w:val="Tittel"/>
      </w:pPr>
      <w:r>
        <w:t xml:space="preserve">Appendiks, Metode for </w:t>
      </w:r>
      <w:r w:rsidR="00F61CF0">
        <w:t>avstands</w:t>
      </w:r>
      <w:r>
        <w:t>takst</w:t>
      </w:r>
    </w:p>
    <w:p w14:paraId="2B070185" w14:textId="77777777" w:rsidR="00041C16" w:rsidRDefault="001D361A">
      <w:r>
        <w:t>Her skisseres en mulig metode for å lage avstandstakst tilpasset et område i modellen. Jeg bruker eksempelet med Oppland fylkeskommune.</w:t>
      </w:r>
    </w:p>
    <w:p w14:paraId="46D21772" w14:textId="77777777" w:rsidR="00F61CF0" w:rsidRDefault="00F61CF0">
      <w:r>
        <w:t xml:space="preserve">Man starter med å finne frem til noen sentrale relasjoner i det aktuelle området og koder inn </w:t>
      </w:r>
      <w:r w:rsidR="000B2D14">
        <w:t>avstand</w:t>
      </w:r>
      <w:r>
        <w:t xml:space="preserve"> langs vei og kollektivtakst for disse</w:t>
      </w:r>
      <w:r w:rsidR="003801E0">
        <w:t xml:space="preserve"> (her har jeg tatt vekk relasjoner med avstander over 150 km)</w:t>
      </w:r>
      <w:r>
        <w:t>:</w:t>
      </w:r>
    </w:p>
    <w:p w14:paraId="04DA38E0" w14:textId="77777777" w:rsidR="00F61CF0" w:rsidRDefault="00F61CF0">
      <w:r w:rsidRPr="00F61CF0">
        <w:rPr>
          <w:noProof/>
          <w:lang w:eastAsia="nb-NO"/>
        </w:rPr>
        <w:lastRenderedPageBreak/>
        <w:drawing>
          <wp:inline distT="0" distB="0" distL="0" distR="0" wp14:anchorId="36A84E6F" wp14:editId="71D5CB7E">
            <wp:extent cx="5760720" cy="372329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723295"/>
                    </a:xfrm>
                    <a:prstGeom prst="rect">
                      <a:avLst/>
                    </a:prstGeom>
                    <a:noFill/>
                    <a:ln>
                      <a:noFill/>
                    </a:ln>
                  </pic:spPr>
                </pic:pic>
              </a:graphicData>
            </a:graphic>
          </wp:inline>
        </w:drawing>
      </w:r>
    </w:p>
    <w:p w14:paraId="42C48F4A" w14:textId="77777777" w:rsidR="00F61CF0" w:rsidRDefault="00F61CF0">
      <w:r>
        <w:t>Så kan man sette observasjonene inn i et plott og gjøre en lineær regresjon:</w:t>
      </w:r>
    </w:p>
    <w:p w14:paraId="09B9E047" w14:textId="77777777" w:rsidR="001D361A" w:rsidRDefault="00F61CF0">
      <w:r>
        <w:rPr>
          <w:noProof/>
          <w:lang w:eastAsia="nb-NO"/>
        </w:rPr>
        <w:drawing>
          <wp:inline distT="0" distB="0" distL="0" distR="0" wp14:anchorId="31EC9271" wp14:editId="5BBAC1A8">
            <wp:extent cx="4584700" cy="2755900"/>
            <wp:effectExtent l="0" t="0" r="6350" b="635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ADDC7D4" w14:textId="77777777" w:rsidR="009E7C2A" w:rsidRDefault="009E7C2A">
      <w:r>
        <w:t>Resultatet kan brukes til to ting: For det første kan man vurdere hvor godt egnet avstandstakst er for området, jo bedre tilpasning til en rett linje jo mer egnet. For det andre får man konstantledd og kilometeravhengig ledd til bruk i taksttabellen.</w:t>
      </w:r>
    </w:p>
    <w:sectPr w:rsidR="009E7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CB7D9" w14:textId="77777777" w:rsidR="00FF6A92" w:rsidRDefault="00FF6A92" w:rsidP="00FF6A92">
      <w:pPr>
        <w:spacing w:after="0" w:line="240" w:lineRule="auto"/>
      </w:pPr>
      <w:r>
        <w:separator/>
      </w:r>
    </w:p>
  </w:endnote>
  <w:endnote w:type="continuationSeparator" w:id="0">
    <w:p w14:paraId="60C57C70" w14:textId="77777777" w:rsidR="00FF6A92" w:rsidRDefault="00FF6A92" w:rsidP="00FF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2E6C" w14:textId="77777777" w:rsidR="00FF6A92" w:rsidRDefault="00FF6A92" w:rsidP="00FF6A92">
      <w:pPr>
        <w:spacing w:after="0" w:line="240" w:lineRule="auto"/>
      </w:pPr>
      <w:r>
        <w:separator/>
      </w:r>
    </w:p>
  </w:footnote>
  <w:footnote w:type="continuationSeparator" w:id="0">
    <w:p w14:paraId="3D41DC6D" w14:textId="77777777" w:rsidR="00FF6A92" w:rsidRDefault="00FF6A92" w:rsidP="00FF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B7529"/>
    <w:multiLevelType w:val="hybridMultilevel"/>
    <w:tmpl w:val="94F61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C2281"/>
    <w:multiLevelType w:val="hybridMultilevel"/>
    <w:tmpl w:val="A64C30BE"/>
    <w:lvl w:ilvl="0" w:tplc="84C60A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15"/>
    <w:rsid w:val="00041C16"/>
    <w:rsid w:val="000B2D14"/>
    <w:rsid w:val="00131403"/>
    <w:rsid w:val="00135C78"/>
    <w:rsid w:val="001C765B"/>
    <w:rsid w:val="001D361A"/>
    <w:rsid w:val="002509BD"/>
    <w:rsid w:val="00264966"/>
    <w:rsid w:val="00361072"/>
    <w:rsid w:val="003801E0"/>
    <w:rsid w:val="003C3B0E"/>
    <w:rsid w:val="003E5207"/>
    <w:rsid w:val="00413DC1"/>
    <w:rsid w:val="00456115"/>
    <w:rsid w:val="004B0F87"/>
    <w:rsid w:val="004D6CC0"/>
    <w:rsid w:val="007803C8"/>
    <w:rsid w:val="008D028E"/>
    <w:rsid w:val="008E0DE3"/>
    <w:rsid w:val="00954BE7"/>
    <w:rsid w:val="009E022A"/>
    <w:rsid w:val="009E7C2A"/>
    <w:rsid w:val="009F2CD1"/>
    <w:rsid w:val="00A0222C"/>
    <w:rsid w:val="00AE5688"/>
    <w:rsid w:val="00CB7697"/>
    <w:rsid w:val="00D26485"/>
    <w:rsid w:val="00DE0A2B"/>
    <w:rsid w:val="00F61CF0"/>
    <w:rsid w:val="00FF6A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F530B"/>
  <w15:docId w15:val="{7FCACECE-2C7B-402A-9F3D-39E20729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561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5611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3610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361072"/>
    <w:pPr>
      <w:ind w:left="720"/>
      <w:contextualSpacing/>
    </w:pPr>
  </w:style>
  <w:style w:type="paragraph" w:styleId="Bobletekst">
    <w:name w:val="Balloon Text"/>
    <w:basedOn w:val="Normal"/>
    <w:link w:val="BobletekstTegn"/>
    <w:uiPriority w:val="99"/>
    <w:semiHidden/>
    <w:unhideWhenUsed/>
    <w:rsid w:val="00CB76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697"/>
    <w:rPr>
      <w:rFonts w:ascii="Tahoma" w:hAnsi="Tahoma" w:cs="Tahoma"/>
      <w:sz w:val="16"/>
      <w:szCs w:val="16"/>
    </w:rPr>
  </w:style>
  <w:style w:type="character" w:styleId="Hyperkobling">
    <w:name w:val="Hyperlink"/>
    <w:basedOn w:val="Standardskriftforavsnitt"/>
    <w:uiPriority w:val="99"/>
    <w:semiHidden/>
    <w:unhideWhenUsed/>
    <w:rsid w:val="00264966"/>
    <w:rPr>
      <w:strike w:val="0"/>
      <w:dstrike w:val="0"/>
      <w:color w:val="006BB3"/>
      <w:sz w:val="21"/>
      <w:szCs w:val="21"/>
      <w:u w:val="none"/>
      <w:effect w:val="none"/>
    </w:rPr>
  </w:style>
  <w:style w:type="character" w:styleId="Sterk">
    <w:name w:val="Strong"/>
    <w:basedOn w:val="Standardskriftforavsnitt"/>
    <w:uiPriority w:val="22"/>
    <w:qFormat/>
    <w:rsid w:val="00264966"/>
    <w:rPr>
      <w:b/>
      <w:bCs/>
    </w:rPr>
  </w:style>
  <w:style w:type="table" w:styleId="Tabellrutenett">
    <w:name w:val="Table Grid"/>
    <w:basedOn w:val="Vanligtabell"/>
    <w:uiPriority w:val="59"/>
    <w:rsid w:val="004D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059556">
      <w:bodyDiv w:val="1"/>
      <w:marLeft w:val="0"/>
      <w:marRight w:val="0"/>
      <w:marTop w:val="0"/>
      <w:marBottom w:val="0"/>
      <w:divBdr>
        <w:top w:val="none" w:sz="0" w:space="0" w:color="auto"/>
        <w:left w:val="none" w:sz="0" w:space="0" w:color="auto"/>
        <w:bottom w:val="none" w:sz="0" w:space="0" w:color="auto"/>
        <w:right w:val="none" w:sz="0" w:space="0" w:color="auto"/>
      </w:divBdr>
      <w:divsChild>
        <w:div w:id="2034573749">
          <w:marLeft w:val="0"/>
          <w:marRight w:val="0"/>
          <w:marTop w:val="0"/>
          <w:marBottom w:val="0"/>
          <w:divBdr>
            <w:top w:val="none" w:sz="0" w:space="0" w:color="auto"/>
            <w:left w:val="none" w:sz="0" w:space="0" w:color="auto"/>
            <w:bottom w:val="none" w:sz="0" w:space="0" w:color="auto"/>
            <w:right w:val="none" w:sz="0" w:space="0" w:color="auto"/>
          </w:divBdr>
        </w:div>
      </w:divsChild>
    </w:div>
    <w:div w:id="610086360">
      <w:bodyDiv w:val="1"/>
      <w:marLeft w:val="0"/>
      <w:marRight w:val="0"/>
      <w:marTop w:val="0"/>
      <w:marBottom w:val="0"/>
      <w:divBdr>
        <w:top w:val="none" w:sz="0" w:space="0" w:color="auto"/>
        <w:left w:val="none" w:sz="0" w:space="0" w:color="auto"/>
        <w:bottom w:val="none" w:sz="0" w:space="0" w:color="auto"/>
        <w:right w:val="none" w:sz="0" w:space="0" w:color="auto"/>
      </w:divBdr>
      <w:divsChild>
        <w:div w:id="135145686">
          <w:marLeft w:val="0"/>
          <w:marRight w:val="0"/>
          <w:marTop w:val="0"/>
          <w:marBottom w:val="0"/>
          <w:divBdr>
            <w:top w:val="none" w:sz="0" w:space="0" w:color="auto"/>
            <w:left w:val="none" w:sz="0" w:space="0" w:color="auto"/>
            <w:bottom w:val="none" w:sz="0" w:space="0" w:color="auto"/>
            <w:right w:val="none" w:sz="0" w:space="0" w:color="auto"/>
          </w:divBdr>
        </w:div>
      </w:divsChild>
    </w:div>
    <w:div w:id="632907064">
      <w:bodyDiv w:val="1"/>
      <w:marLeft w:val="0"/>
      <w:marRight w:val="0"/>
      <w:marTop w:val="0"/>
      <w:marBottom w:val="0"/>
      <w:divBdr>
        <w:top w:val="none" w:sz="0" w:space="0" w:color="auto"/>
        <w:left w:val="none" w:sz="0" w:space="0" w:color="auto"/>
        <w:bottom w:val="none" w:sz="0" w:space="0" w:color="auto"/>
        <w:right w:val="none" w:sz="0" w:space="0" w:color="auto"/>
      </w:divBdr>
      <w:divsChild>
        <w:div w:id="599602080">
          <w:marLeft w:val="0"/>
          <w:marRight w:val="0"/>
          <w:marTop w:val="0"/>
          <w:marBottom w:val="0"/>
          <w:divBdr>
            <w:top w:val="none" w:sz="0" w:space="0" w:color="auto"/>
            <w:left w:val="none" w:sz="0" w:space="0" w:color="auto"/>
            <w:bottom w:val="none" w:sz="0" w:space="0" w:color="auto"/>
            <w:right w:val="none" w:sz="0" w:space="0" w:color="auto"/>
          </w:divBdr>
        </w:div>
      </w:divsChild>
    </w:div>
    <w:div w:id="14842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ter.no/no/billetter/oslo_og_akershus/Enkeltbillett/" TargetMode="External"/><Relationship Id="rId13" Type="http://schemas.openxmlformats.org/officeDocument/2006/relationships/image" Target="media/image5.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ruter.no/no/billetter/oslo_og_akershus/30-dagersbillett/" TargetMode="External"/><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F41B12D579246B31F6C90F1893948" ma:contentTypeVersion="6" ma:contentTypeDescription="Opprett et nytt dokument." ma:contentTypeScope="" ma:versionID="4cc5f50582ffa29e97a605c35bad0569">
  <xsd:schema xmlns:xsd="http://www.w3.org/2001/XMLSchema" xmlns:xs="http://www.w3.org/2001/XMLSchema" xmlns:p="http://schemas.microsoft.com/office/2006/metadata/properties" xmlns:ns2="8c06df2d-2330-408b-a4dd-fa36cd62af73" xmlns:ns3="5e4f22d1-6b51-471f-87e2-fc966f3515a0" targetNamespace="http://schemas.microsoft.com/office/2006/metadata/properties" ma:root="true" ma:fieldsID="9ce3b069aae9cba67ced0d845c781b5e" ns2:_="" ns3:_="">
    <xsd:import namespace="8c06df2d-2330-408b-a4dd-fa36cd62af73"/>
    <xsd:import namespace="5e4f22d1-6b51-471f-87e2-fc966f35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df2d-2330-408b-a4dd-fa36cd62a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f22d1-6b51-471f-87e2-fc966f3515a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D7B9D-237E-4F36-9552-3C5378B8DA76}"/>
</file>

<file path=customXml/itemProps2.xml><?xml version="1.0" encoding="utf-8"?>
<ds:datastoreItem xmlns:ds="http://schemas.openxmlformats.org/officeDocument/2006/customXml" ds:itemID="{E1AC2340-522C-4001-A137-D060ACFA77C6}"/>
</file>

<file path=customXml/itemProps3.xml><?xml version="1.0" encoding="utf-8"?>
<ds:datastoreItem xmlns:ds="http://schemas.openxmlformats.org/officeDocument/2006/customXml" ds:itemID="{254AF96C-3D58-402B-91DF-64D70FC721B0}"/>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5931</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Jernbaneverket</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Berent Ranheim</dc:creator>
  <cp:lastModifiedBy>Oskar Andreas Kleven</cp:lastModifiedBy>
  <cp:revision>2</cp:revision>
  <cp:lastPrinted>2013-05-03T12:07:00Z</cp:lastPrinted>
  <dcterms:created xsi:type="dcterms:W3CDTF">2021-11-24T06:27:00Z</dcterms:created>
  <dcterms:modified xsi:type="dcterms:W3CDTF">2021-11-24T06:27:00Z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bf486-f09d-4a86-8810-b4add863c98a_Enabled">
    <vt:lpwstr>true</vt:lpwstr>
  </property>
  <property fmtid="{D5CDD505-2E9C-101B-9397-08002B2CF9AE}" pid="3" name="MSIP_Label_e5fbf486-f09d-4a86-8810-b4add863c98a_SetDate">
    <vt:lpwstr>2021-11-24T06:27:46Z</vt:lpwstr>
  </property>
  <property fmtid="{D5CDD505-2E9C-101B-9397-08002B2CF9AE}" pid="4" name="MSIP_Label_e5fbf486-f09d-4a86-8810-b4add863c98a_Method">
    <vt:lpwstr>Privileged</vt:lpwstr>
  </property>
  <property fmtid="{D5CDD505-2E9C-101B-9397-08002B2CF9AE}" pid="5" name="MSIP_Label_e5fbf486-f09d-4a86-8810-b4add863c98a_Name">
    <vt:lpwstr>Public</vt:lpwstr>
  </property>
  <property fmtid="{D5CDD505-2E9C-101B-9397-08002B2CF9AE}" pid="6" name="MSIP_Label_e5fbf486-f09d-4a86-8810-b4add863c98a_SiteId">
    <vt:lpwstr>38856954-ed55-49f7-8bdd-738ffbbfd390</vt:lpwstr>
  </property>
  <property fmtid="{D5CDD505-2E9C-101B-9397-08002B2CF9AE}" pid="7" name="MSIP_Label_e5fbf486-f09d-4a86-8810-b4add863c98a_ActionId">
    <vt:lpwstr>5a423709-840a-4573-85d7-0fc74c338e04</vt:lpwstr>
  </property>
  <property fmtid="{D5CDD505-2E9C-101B-9397-08002B2CF9AE}" pid="8" name="MSIP_Label_e5fbf486-f09d-4a86-8810-b4add863c98a_ContentBits">
    <vt:lpwstr>0</vt:lpwstr>
  </property>
  <property fmtid="{D5CDD505-2E9C-101B-9397-08002B2CF9AE}" pid="9" name="ContentTypeId">
    <vt:lpwstr>0x010100247F41B12D579246B31F6C90F1893948</vt:lpwstr>
  </property>
</Properties>
</file>